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42B" w:rsidRDefault="0033642B" w:rsidP="00B00166">
      <w:pPr>
        <w:pStyle w:val="Nadpis1"/>
        <w:numPr>
          <w:ilvl w:val="0"/>
          <w:numId w:val="0"/>
        </w:numPr>
      </w:pPr>
      <w:r>
        <w:t>RIZIKA VYPLÝVAJÍCÍ Z PRACOVNÍCH POSTUPŮ</w:t>
      </w:r>
    </w:p>
    <w:p w:rsidR="0033642B" w:rsidRDefault="0033642B" w:rsidP="0033642B">
      <w:pPr>
        <w:pStyle w:val="Nadpis2"/>
      </w:pPr>
      <w:bookmarkStart w:id="0" w:name="_Toc389485072"/>
      <w:r>
        <w:t>Rizika na staveništi a opatření k jejich omezení</w:t>
      </w:r>
      <w:bookmarkEnd w:id="0"/>
    </w:p>
    <w:p w:rsidR="0033642B" w:rsidRDefault="0033642B" w:rsidP="0033642B">
      <w:r>
        <w:rPr>
          <w:b/>
          <w:bCs/>
        </w:rPr>
        <w:t xml:space="preserve">Výčet a identifikace rizik </w:t>
      </w:r>
      <w:r>
        <w:t xml:space="preserve">na </w:t>
      </w:r>
      <w:r>
        <w:rPr>
          <w:b/>
          <w:bCs/>
        </w:rPr>
        <w:t xml:space="preserve">stavbě </w:t>
      </w:r>
      <w:r>
        <w:t>(včetně doporučených opatření k odstranění či minimalizaci rizik)</w:t>
      </w:r>
    </w:p>
    <w:p w:rsidR="0033642B" w:rsidRDefault="0033642B" w:rsidP="0033642B">
      <w:r>
        <w:t xml:space="preserve">Rizika na staveništi budou řešena v souladu s prevencí rizik dle </w:t>
      </w:r>
      <w:r w:rsidR="00C34F04">
        <w:t xml:space="preserve">Zákoníku práce Úplné znění zákona č. 262/2006 Sb. ZÁKON ze dne 21. dubna 2006 (účinný k dnešnímu dni, ve znění účinném od 1. 1. 2018), </w:t>
      </w:r>
      <w:r>
        <w:t>a v rámci opatřeni stanovených těmito předpisy. Pro řešení rizik a stanoveni opatřeni jsou v plánu vypsány potřebné předpisy. V rámci řešení rizik na staveništi bude případně plán BOZP revidován či dopracováván podle skutečné situace na stavbě.</w:t>
      </w:r>
    </w:p>
    <w:p w:rsidR="0033642B" w:rsidRDefault="0033642B" w:rsidP="0033642B">
      <w:pPr>
        <w:rPr>
          <w:u w:val="single"/>
        </w:rPr>
      </w:pPr>
      <w:r>
        <w:t xml:space="preserve">Při výstavbě budou prováděny práce a činnosti vystavující dle přílohy č. 5 </w:t>
      </w:r>
      <w:r>
        <w:rPr>
          <w:u w:val="single"/>
        </w:rPr>
        <w:t>NV č. 59</w:t>
      </w:r>
      <w:r w:rsidR="0001428F">
        <w:rPr>
          <w:u w:val="single"/>
        </w:rPr>
        <w:t>1</w:t>
      </w:r>
      <w:r>
        <w:rPr>
          <w:u w:val="single"/>
        </w:rPr>
        <w:t>/2006 Sb.</w:t>
      </w:r>
      <w:r>
        <w:t xml:space="preserve"> vystavující fyzickou osobu zvýšenému </w:t>
      </w:r>
      <w:r>
        <w:rPr>
          <w:u w:val="single"/>
        </w:rPr>
        <w:t>ohroženi života</w:t>
      </w:r>
      <w:r>
        <w:t xml:space="preserve"> nebo </w:t>
      </w:r>
      <w:r>
        <w:rPr>
          <w:u w:val="single"/>
        </w:rPr>
        <w:t>poškození zdraví (rizikové práce):</w:t>
      </w:r>
    </w:p>
    <w:p w:rsidR="0033642B" w:rsidRDefault="0033642B" w:rsidP="0033642B">
      <w:r>
        <w:tab/>
      </w:r>
    </w:p>
    <w:tbl>
      <w:tblPr>
        <w:tblW w:w="4984" w:type="pct"/>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079"/>
        <w:gridCol w:w="6971"/>
        <w:gridCol w:w="983"/>
      </w:tblGrid>
      <w:tr w:rsidR="0033642B" w:rsidTr="0033642B">
        <w:tc>
          <w:tcPr>
            <w:tcW w:w="600"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rPr>
                <w:rFonts w:ascii="Calibri" w:hAnsi="Calibri"/>
                <w:sz w:val="22"/>
                <w:szCs w:val="22"/>
              </w:rPr>
            </w:pPr>
            <w:r>
              <w:rPr>
                <w:rFonts w:ascii="Calibri" w:hAnsi="Calibri"/>
                <w:sz w:val="22"/>
                <w:szCs w:val="22"/>
              </w:rPr>
              <w:t>Legislativa</w:t>
            </w:r>
          </w:p>
        </w:tc>
        <w:tc>
          <w:tcPr>
            <w:tcW w:w="3861"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FD6A05">
            <w:pPr>
              <w:pStyle w:val="Bezmezer"/>
              <w:rPr>
                <w:rFonts w:ascii="Calibri" w:hAnsi="Calibri"/>
                <w:sz w:val="22"/>
                <w:szCs w:val="22"/>
              </w:rPr>
            </w:pPr>
            <w:r>
              <w:rPr>
                <w:rFonts w:ascii="Calibri" w:hAnsi="Calibri"/>
                <w:sz w:val="22"/>
                <w:szCs w:val="22"/>
              </w:rPr>
              <w:t>Příloha 5. -</w:t>
            </w:r>
            <w:r w:rsidR="00B93E58">
              <w:rPr>
                <w:rFonts w:ascii="Calibri" w:hAnsi="Calibri"/>
                <w:sz w:val="22"/>
                <w:szCs w:val="22"/>
              </w:rPr>
              <w:t xml:space="preserve"> </w:t>
            </w:r>
            <w:r w:rsidR="0033642B">
              <w:rPr>
                <w:rFonts w:ascii="Calibri" w:hAnsi="Calibri"/>
                <w:sz w:val="22"/>
                <w:szCs w:val="22"/>
              </w:rPr>
              <w:t>Rizikové práce</w:t>
            </w:r>
          </w:p>
        </w:tc>
        <w:tc>
          <w:tcPr>
            <w:tcW w:w="539"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jc w:val="center"/>
              <w:rPr>
                <w:rFonts w:ascii="Calibri" w:hAnsi="Calibri"/>
                <w:sz w:val="22"/>
                <w:szCs w:val="22"/>
              </w:rPr>
            </w:pPr>
            <w:r>
              <w:rPr>
                <w:rFonts w:ascii="Calibri" w:hAnsi="Calibri"/>
                <w:sz w:val="22"/>
                <w:szCs w:val="22"/>
              </w:rPr>
              <w:t>Provádění</w:t>
            </w:r>
          </w:p>
        </w:tc>
      </w:tr>
      <w:tr w:rsidR="0033642B" w:rsidTr="0033642B">
        <w:tc>
          <w:tcPr>
            <w:tcW w:w="600"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rPr>
                <w:rFonts w:ascii="Calibri" w:hAnsi="Calibri"/>
                <w:sz w:val="22"/>
                <w:szCs w:val="22"/>
              </w:rPr>
            </w:pPr>
            <w:r>
              <w:rPr>
                <w:rFonts w:ascii="Calibri" w:hAnsi="Calibri"/>
                <w:sz w:val="22"/>
                <w:szCs w:val="22"/>
              </w:rPr>
              <w:t>bod 1</w:t>
            </w:r>
          </w:p>
        </w:tc>
        <w:tc>
          <w:tcPr>
            <w:tcW w:w="3861"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rPr>
                <w:rFonts w:ascii="Calibri" w:hAnsi="Calibri"/>
                <w:sz w:val="22"/>
                <w:szCs w:val="22"/>
              </w:rPr>
            </w:pPr>
            <w:r>
              <w:rPr>
                <w:rFonts w:ascii="Calibri" w:hAnsi="Calibri"/>
                <w:sz w:val="22"/>
                <w:szCs w:val="22"/>
              </w:rPr>
              <w:t>Práce vystavující zaměstnance riziku poškození zdraví nebo smrti sesuvem uvolněné zeminy ve výkopu o hloubce větší 5 m</w:t>
            </w:r>
          </w:p>
        </w:tc>
        <w:tc>
          <w:tcPr>
            <w:tcW w:w="539"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jc w:val="center"/>
              <w:rPr>
                <w:rFonts w:ascii="Calibri" w:hAnsi="Calibri"/>
                <w:sz w:val="22"/>
                <w:szCs w:val="22"/>
              </w:rPr>
            </w:pPr>
            <w:r>
              <w:rPr>
                <w:rFonts w:ascii="Calibri" w:hAnsi="Calibri"/>
                <w:sz w:val="22"/>
                <w:szCs w:val="22"/>
              </w:rPr>
              <w:t>ne</w:t>
            </w:r>
          </w:p>
        </w:tc>
      </w:tr>
      <w:tr w:rsidR="0033642B" w:rsidTr="0033642B">
        <w:tc>
          <w:tcPr>
            <w:tcW w:w="600"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rPr>
                <w:rFonts w:ascii="Calibri" w:hAnsi="Calibri"/>
                <w:sz w:val="22"/>
                <w:szCs w:val="22"/>
              </w:rPr>
            </w:pPr>
            <w:r>
              <w:rPr>
                <w:rFonts w:ascii="Calibri" w:hAnsi="Calibri"/>
                <w:sz w:val="22"/>
                <w:szCs w:val="22"/>
              </w:rPr>
              <w:t>bod 2</w:t>
            </w:r>
          </w:p>
        </w:tc>
        <w:tc>
          <w:tcPr>
            <w:tcW w:w="3861"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rPr>
                <w:rFonts w:ascii="Calibri" w:hAnsi="Calibri"/>
                <w:sz w:val="22"/>
                <w:szCs w:val="22"/>
              </w:rPr>
            </w:pPr>
            <w:r>
              <w:rPr>
                <w:rFonts w:ascii="Calibri" w:hAnsi="Calibri"/>
                <w:sz w:val="22"/>
                <w:szCs w:val="22"/>
              </w:rPr>
              <w:t>Práce související s používáním nebezpečných vysoce toxických chemických látek a přípravků, nebo výskytu biologických činitelů podle zvi: předpisů</w:t>
            </w:r>
          </w:p>
        </w:tc>
        <w:tc>
          <w:tcPr>
            <w:tcW w:w="539"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jc w:val="center"/>
              <w:rPr>
                <w:rFonts w:ascii="Calibri" w:hAnsi="Calibri"/>
                <w:sz w:val="22"/>
                <w:szCs w:val="22"/>
              </w:rPr>
            </w:pPr>
            <w:r>
              <w:rPr>
                <w:rFonts w:ascii="Calibri" w:hAnsi="Calibri"/>
                <w:sz w:val="22"/>
                <w:szCs w:val="22"/>
              </w:rPr>
              <w:t>ne</w:t>
            </w:r>
          </w:p>
        </w:tc>
      </w:tr>
      <w:tr w:rsidR="0033642B" w:rsidTr="0033642B">
        <w:tc>
          <w:tcPr>
            <w:tcW w:w="600"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rPr>
                <w:rFonts w:ascii="Calibri" w:hAnsi="Calibri"/>
                <w:sz w:val="22"/>
                <w:szCs w:val="22"/>
              </w:rPr>
            </w:pPr>
            <w:r>
              <w:rPr>
                <w:rFonts w:ascii="Calibri" w:hAnsi="Calibri"/>
                <w:sz w:val="22"/>
                <w:szCs w:val="22"/>
              </w:rPr>
              <w:t>bod 3</w:t>
            </w:r>
          </w:p>
        </w:tc>
        <w:tc>
          <w:tcPr>
            <w:tcW w:w="3861"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rPr>
                <w:rFonts w:ascii="Calibri" w:hAnsi="Calibri"/>
                <w:sz w:val="22"/>
                <w:szCs w:val="22"/>
              </w:rPr>
            </w:pPr>
            <w:r>
              <w:rPr>
                <w:rFonts w:ascii="Calibri" w:hAnsi="Calibri"/>
                <w:sz w:val="22"/>
                <w:szCs w:val="22"/>
              </w:rPr>
              <w:t>Práce se zdroji ionizujícího zářeni pokud se na ně nevztahují zvl. právní předpisy</w:t>
            </w:r>
          </w:p>
        </w:tc>
        <w:tc>
          <w:tcPr>
            <w:tcW w:w="539"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jc w:val="center"/>
              <w:rPr>
                <w:rFonts w:ascii="Calibri" w:hAnsi="Calibri"/>
                <w:sz w:val="22"/>
                <w:szCs w:val="22"/>
              </w:rPr>
            </w:pPr>
            <w:r>
              <w:rPr>
                <w:rFonts w:ascii="Calibri" w:hAnsi="Calibri"/>
                <w:sz w:val="22"/>
                <w:szCs w:val="22"/>
              </w:rPr>
              <w:t>ne</w:t>
            </w:r>
          </w:p>
        </w:tc>
      </w:tr>
      <w:tr w:rsidR="0033642B" w:rsidTr="0033642B">
        <w:tc>
          <w:tcPr>
            <w:tcW w:w="600" w:type="pct"/>
            <w:tcBorders>
              <w:top w:val="single" w:sz="4" w:space="0" w:color="auto"/>
              <w:left w:val="single" w:sz="4" w:space="0" w:color="auto"/>
              <w:bottom w:val="single" w:sz="4" w:space="0" w:color="auto"/>
              <w:right w:val="single" w:sz="4" w:space="0" w:color="auto"/>
            </w:tcBorders>
            <w:shd w:val="clear" w:color="auto" w:fill="FFFFFF"/>
            <w:hideMark/>
          </w:tcPr>
          <w:p w:rsidR="0033642B" w:rsidRPr="007B56A0" w:rsidRDefault="0033642B">
            <w:pPr>
              <w:pStyle w:val="Bezmezer"/>
              <w:rPr>
                <w:rFonts w:ascii="Calibri" w:hAnsi="Calibri"/>
                <w:sz w:val="22"/>
                <w:szCs w:val="22"/>
              </w:rPr>
            </w:pPr>
            <w:r w:rsidRPr="007B56A0">
              <w:rPr>
                <w:rFonts w:ascii="Calibri" w:hAnsi="Calibri"/>
                <w:sz w:val="22"/>
                <w:szCs w:val="22"/>
              </w:rPr>
              <w:t>bod 4</w:t>
            </w:r>
          </w:p>
        </w:tc>
        <w:tc>
          <w:tcPr>
            <w:tcW w:w="3861" w:type="pct"/>
            <w:tcBorders>
              <w:top w:val="single" w:sz="4" w:space="0" w:color="auto"/>
              <w:left w:val="single" w:sz="4" w:space="0" w:color="auto"/>
              <w:bottom w:val="single" w:sz="4" w:space="0" w:color="auto"/>
              <w:right w:val="single" w:sz="4" w:space="0" w:color="auto"/>
            </w:tcBorders>
            <w:shd w:val="clear" w:color="auto" w:fill="FFFFFF"/>
            <w:hideMark/>
          </w:tcPr>
          <w:p w:rsidR="0033642B" w:rsidRPr="007B56A0" w:rsidRDefault="0033642B">
            <w:pPr>
              <w:pStyle w:val="Bezmezer"/>
              <w:rPr>
                <w:rFonts w:ascii="Calibri" w:hAnsi="Calibri"/>
                <w:sz w:val="22"/>
                <w:szCs w:val="22"/>
              </w:rPr>
            </w:pPr>
            <w:r w:rsidRPr="007B56A0">
              <w:rPr>
                <w:rFonts w:ascii="Calibri" w:hAnsi="Calibri"/>
                <w:sz w:val="22"/>
                <w:szCs w:val="22"/>
              </w:rPr>
              <w:t>Práce nad vodou nebo v její těsné blízkosti spojené s bezprostředním nebezpečím utonuti</w:t>
            </w:r>
          </w:p>
        </w:tc>
        <w:tc>
          <w:tcPr>
            <w:tcW w:w="539" w:type="pct"/>
            <w:tcBorders>
              <w:top w:val="single" w:sz="4" w:space="0" w:color="auto"/>
              <w:left w:val="single" w:sz="4" w:space="0" w:color="auto"/>
              <w:bottom w:val="single" w:sz="4" w:space="0" w:color="auto"/>
              <w:right w:val="single" w:sz="4" w:space="0" w:color="auto"/>
            </w:tcBorders>
            <w:shd w:val="clear" w:color="auto" w:fill="FFFFFF"/>
            <w:hideMark/>
          </w:tcPr>
          <w:p w:rsidR="0033642B" w:rsidRPr="007B56A0" w:rsidRDefault="007B56A0" w:rsidP="007B56A0">
            <w:pPr>
              <w:pStyle w:val="Bezmezer"/>
              <w:jc w:val="center"/>
              <w:rPr>
                <w:rFonts w:ascii="Calibri" w:hAnsi="Calibri"/>
                <w:sz w:val="22"/>
                <w:szCs w:val="22"/>
              </w:rPr>
            </w:pPr>
            <w:r w:rsidRPr="007B56A0">
              <w:rPr>
                <w:rFonts w:ascii="Calibri" w:hAnsi="Calibri"/>
                <w:sz w:val="22"/>
                <w:szCs w:val="22"/>
              </w:rPr>
              <w:t>ne</w:t>
            </w:r>
          </w:p>
        </w:tc>
      </w:tr>
      <w:tr w:rsidR="0033642B" w:rsidTr="0033642B">
        <w:tc>
          <w:tcPr>
            <w:tcW w:w="600"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rPr>
                <w:rFonts w:ascii="Calibri" w:hAnsi="Calibri"/>
                <w:sz w:val="22"/>
                <w:szCs w:val="22"/>
              </w:rPr>
            </w:pPr>
            <w:r>
              <w:rPr>
                <w:rFonts w:ascii="Calibri" w:hAnsi="Calibri"/>
                <w:sz w:val="22"/>
                <w:szCs w:val="22"/>
              </w:rPr>
              <w:t>bod 5</w:t>
            </w:r>
          </w:p>
        </w:tc>
        <w:tc>
          <w:tcPr>
            <w:tcW w:w="3861"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rPr>
                <w:rFonts w:ascii="Calibri" w:hAnsi="Calibri"/>
                <w:sz w:val="22"/>
                <w:szCs w:val="22"/>
              </w:rPr>
            </w:pPr>
            <w:r>
              <w:rPr>
                <w:rFonts w:ascii="Calibri" w:hAnsi="Calibri"/>
                <w:sz w:val="22"/>
                <w:szCs w:val="22"/>
              </w:rPr>
              <w:t>Práce, při kterých hrozí pád z výšky nebo do volné hloubky více jak 10 m</w:t>
            </w:r>
          </w:p>
        </w:tc>
        <w:tc>
          <w:tcPr>
            <w:tcW w:w="539"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jc w:val="center"/>
              <w:rPr>
                <w:rFonts w:ascii="Calibri" w:hAnsi="Calibri"/>
                <w:sz w:val="22"/>
                <w:szCs w:val="22"/>
              </w:rPr>
            </w:pPr>
            <w:r>
              <w:rPr>
                <w:rFonts w:ascii="Calibri" w:hAnsi="Calibri"/>
                <w:sz w:val="22"/>
                <w:szCs w:val="22"/>
              </w:rPr>
              <w:t>ne</w:t>
            </w:r>
          </w:p>
        </w:tc>
      </w:tr>
      <w:tr w:rsidR="0033642B" w:rsidTr="0033642B">
        <w:tc>
          <w:tcPr>
            <w:tcW w:w="600" w:type="pct"/>
            <w:tcBorders>
              <w:top w:val="single" w:sz="4" w:space="0" w:color="auto"/>
              <w:left w:val="single" w:sz="4" w:space="0" w:color="auto"/>
              <w:bottom w:val="single" w:sz="4" w:space="0" w:color="auto"/>
              <w:right w:val="single" w:sz="4" w:space="0" w:color="auto"/>
            </w:tcBorders>
            <w:shd w:val="clear" w:color="auto" w:fill="FFFFFF"/>
            <w:hideMark/>
          </w:tcPr>
          <w:p w:rsidR="0033642B" w:rsidRPr="00B00166" w:rsidRDefault="0033642B">
            <w:pPr>
              <w:pStyle w:val="Bezmezer"/>
              <w:rPr>
                <w:rFonts w:ascii="Calibri" w:hAnsi="Calibri"/>
                <w:b/>
                <w:sz w:val="22"/>
                <w:szCs w:val="22"/>
              </w:rPr>
            </w:pPr>
            <w:r w:rsidRPr="00B00166">
              <w:rPr>
                <w:rFonts w:ascii="Calibri" w:hAnsi="Calibri"/>
                <w:b/>
                <w:sz w:val="22"/>
                <w:szCs w:val="22"/>
              </w:rPr>
              <w:t>bod 6</w:t>
            </w:r>
          </w:p>
        </w:tc>
        <w:tc>
          <w:tcPr>
            <w:tcW w:w="3861" w:type="pct"/>
            <w:tcBorders>
              <w:top w:val="single" w:sz="4" w:space="0" w:color="auto"/>
              <w:left w:val="single" w:sz="4" w:space="0" w:color="auto"/>
              <w:bottom w:val="single" w:sz="4" w:space="0" w:color="auto"/>
              <w:right w:val="single" w:sz="4" w:space="0" w:color="auto"/>
            </w:tcBorders>
            <w:shd w:val="clear" w:color="auto" w:fill="FFFFFF"/>
            <w:hideMark/>
          </w:tcPr>
          <w:p w:rsidR="0033642B" w:rsidRPr="00B00166" w:rsidRDefault="0033642B">
            <w:pPr>
              <w:pStyle w:val="Bezmezer"/>
              <w:rPr>
                <w:rFonts w:ascii="Calibri" w:hAnsi="Calibri"/>
                <w:b/>
                <w:sz w:val="22"/>
                <w:szCs w:val="22"/>
              </w:rPr>
            </w:pPr>
            <w:r w:rsidRPr="00B00166">
              <w:rPr>
                <w:rFonts w:ascii="Calibri" w:hAnsi="Calibri"/>
                <w:b/>
                <w:sz w:val="22"/>
                <w:szCs w:val="22"/>
              </w:rPr>
              <w:t>Práce vykonávané v ochranných pásmech energetických vedení popř. zařízení technického vybaveni</w:t>
            </w:r>
          </w:p>
        </w:tc>
        <w:tc>
          <w:tcPr>
            <w:tcW w:w="539" w:type="pct"/>
            <w:tcBorders>
              <w:top w:val="single" w:sz="4" w:space="0" w:color="auto"/>
              <w:left w:val="single" w:sz="4" w:space="0" w:color="auto"/>
              <w:bottom w:val="single" w:sz="4" w:space="0" w:color="auto"/>
              <w:right w:val="single" w:sz="4" w:space="0" w:color="auto"/>
            </w:tcBorders>
            <w:shd w:val="clear" w:color="auto" w:fill="FFFFFF"/>
            <w:hideMark/>
          </w:tcPr>
          <w:p w:rsidR="0033642B" w:rsidRPr="005B6027" w:rsidRDefault="00B00166" w:rsidP="00B00166">
            <w:pPr>
              <w:pStyle w:val="Bezmezer"/>
              <w:jc w:val="center"/>
              <w:rPr>
                <w:rFonts w:ascii="Calibri" w:hAnsi="Calibri"/>
                <w:b/>
                <w:sz w:val="22"/>
                <w:szCs w:val="22"/>
              </w:rPr>
            </w:pPr>
            <w:r w:rsidRPr="005B6027">
              <w:rPr>
                <w:rFonts w:ascii="Calibri" w:hAnsi="Calibri"/>
                <w:b/>
                <w:sz w:val="22"/>
                <w:szCs w:val="22"/>
              </w:rPr>
              <w:t xml:space="preserve">Ano </w:t>
            </w:r>
          </w:p>
        </w:tc>
      </w:tr>
      <w:tr w:rsidR="0033642B" w:rsidTr="0033642B">
        <w:tc>
          <w:tcPr>
            <w:tcW w:w="600"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rPr>
                <w:rFonts w:ascii="Calibri" w:hAnsi="Calibri"/>
                <w:sz w:val="22"/>
                <w:szCs w:val="22"/>
              </w:rPr>
            </w:pPr>
            <w:r>
              <w:rPr>
                <w:rFonts w:ascii="Calibri" w:hAnsi="Calibri"/>
                <w:sz w:val="22"/>
                <w:szCs w:val="22"/>
              </w:rPr>
              <w:t>bod 7</w:t>
            </w:r>
          </w:p>
        </w:tc>
        <w:tc>
          <w:tcPr>
            <w:tcW w:w="3861"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rPr>
                <w:rFonts w:ascii="Calibri" w:hAnsi="Calibri"/>
                <w:sz w:val="22"/>
                <w:szCs w:val="22"/>
              </w:rPr>
            </w:pPr>
            <w:r>
              <w:rPr>
                <w:rFonts w:ascii="Calibri" w:hAnsi="Calibri"/>
                <w:sz w:val="22"/>
                <w:szCs w:val="22"/>
              </w:rPr>
              <w:t xml:space="preserve">Studnařské práce, zemní práce prováděné protlačováním nebo </w:t>
            </w:r>
            <w:proofErr w:type="spellStart"/>
            <w:r>
              <w:rPr>
                <w:rFonts w:ascii="Calibri" w:hAnsi="Calibri"/>
                <w:sz w:val="22"/>
                <w:szCs w:val="22"/>
              </w:rPr>
              <w:t>mikrotunelováním</w:t>
            </w:r>
            <w:proofErr w:type="spellEnd"/>
            <w:r>
              <w:rPr>
                <w:rFonts w:ascii="Calibri" w:hAnsi="Calibri"/>
                <w:sz w:val="22"/>
                <w:szCs w:val="22"/>
              </w:rPr>
              <w:t xml:space="preserve"> z podzemního díla. Práce při stavbě tunelů, pokud nepodléhají dozoru báňské správy</w:t>
            </w:r>
          </w:p>
        </w:tc>
        <w:tc>
          <w:tcPr>
            <w:tcW w:w="539" w:type="pct"/>
            <w:tcBorders>
              <w:top w:val="single" w:sz="4" w:space="0" w:color="auto"/>
              <w:left w:val="single" w:sz="4" w:space="0" w:color="auto"/>
              <w:bottom w:val="single" w:sz="4" w:space="0" w:color="auto"/>
              <w:right w:val="single" w:sz="4" w:space="0" w:color="auto"/>
            </w:tcBorders>
            <w:shd w:val="clear" w:color="auto" w:fill="FFFFFF"/>
            <w:hideMark/>
          </w:tcPr>
          <w:p w:rsidR="0033642B" w:rsidRDefault="0033642B">
            <w:pPr>
              <w:pStyle w:val="Bezmezer"/>
              <w:jc w:val="center"/>
              <w:rPr>
                <w:rFonts w:ascii="Calibri" w:hAnsi="Calibri"/>
                <w:sz w:val="22"/>
                <w:szCs w:val="22"/>
              </w:rPr>
            </w:pPr>
            <w:r>
              <w:rPr>
                <w:rFonts w:ascii="Calibri" w:hAnsi="Calibri"/>
                <w:sz w:val="22"/>
                <w:szCs w:val="22"/>
              </w:rPr>
              <w:t>ne</w:t>
            </w:r>
          </w:p>
        </w:tc>
      </w:tr>
      <w:tr w:rsidR="0033642B" w:rsidTr="0033642B">
        <w:tc>
          <w:tcPr>
            <w:tcW w:w="600" w:type="pct"/>
            <w:tcBorders>
              <w:top w:val="single" w:sz="6" w:space="0" w:color="auto"/>
              <w:left w:val="single" w:sz="6" w:space="0" w:color="auto"/>
              <w:bottom w:val="single" w:sz="6" w:space="0" w:color="auto"/>
              <w:right w:val="single" w:sz="6" w:space="0" w:color="auto"/>
            </w:tcBorders>
            <w:shd w:val="clear" w:color="auto" w:fill="FFFFFF"/>
            <w:hideMark/>
          </w:tcPr>
          <w:p w:rsidR="0033642B" w:rsidRDefault="0033642B">
            <w:r>
              <w:rPr>
                <w:sz w:val="22"/>
                <w:szCs w:val="22"/>
              </w:rPr>
              <w:t>bod 8</w:t>
            </w:r>
          </w:p>
        </w:tc>
        <w:tc>
          <w:tcPr>
            <w:tcW w:w="3861" w:type="pct"/>
            <w:tcBorders>
              <w:top w:val="single" w:sz="6" w:space="0" w:color="auto"/>
              <w:left w:val="single" w:sz="6" w:space="0" w:color="auto"/>
              <w:bottom w:val="single" w:sz="6" w:space="0" w:color="auto"/>
              <w:right w:val="single" w:sz="6" w:space="0" w:color="auto"/>
            </w:tcBorders>
            <w:shd w:val="clear" w:color="auto" w:fill="FFFFFF"/>
            <w:hideMark/>
          </w:tcPr>
          <w:p w:rsidR="0033642B" w:rsidRDefault="0033642B">
            <w:r>
              <w:rPr>
                <w:sz w:val="22"/>
                <w:szCs w:val="22"/>
              </w:rPr>
              <w:t>Potápěčské práce</w:t>
            </w:r>
          </w:p>
        </w:tc>
        <w:tc>
          <w:tcPr>
            <w:tcW w:w="539" w:type="pct"/>
            <w:tcBorders>
              <w:top w:val="single" w:sz="6" w:space="0" w:color="auto"/>
              <w:left w:val="single" w:sz="6" w:space="0" w:color="auto"/>
              <w:bottom w:val="single" w:sz="6" w:space="0" w:color="auto"/>
              <w:right w:val="single" w:sz="6" w:space="0" w:color="auto"/>
            </w:tcBorders>
            <w:shd w:val="clear" w:color="auto" w:fill="FFFFFF"/>
            <w:hideMark/>
          </w:tcPr>
          <w:p w:rsidR="0033642B" w:rsidRDefault="0033642B">
            <w:pPr>
              <w:jc w:val="center"/>
            </w:pPr>
            <w:r>
              <w:rPr>
                <w:sz w:val="22"/>
                <w:szCs w:val="22"/>
              </w:rPr>
              <w:t>ne</w:t>
            </w:r>
          </w:p>
        </w:tc>
      </w:tr>
      <w:tr w:rsidR="0033642B" w:rsidTr="0033642B">
        <w:tc>
          <w:tcPr>
            <w:tcW w:w="600" w:type="pct"/>
            <w:tcBorders>
              <w:top w:val="single" w:sz="6" w:space="0" w:color="auto"/>
              <w:left w:val="single" w:sz="6" w:space="0" w:color="auto"/>
              <w:bottom w:val="single" w:sz="6" w:space="0" w:color="auto"/>
              <w:right w:val="single" w:sz="6" w:space="0" w:color="auto"/>
            </w:tcBorders>
            <w:shd w:val="clear" w:color="auto" w:fill="FFFFFF"/>
            <w:hideMark/>
          </w:tcPr>
          <w:p w:rsidR="0033642B" w:rsidRDefault="0033642B">
            <w:r>
              <w:rPr>
                <w:sz w:val="22"/>
                <w:szCs w:val="22"/>
              </w:rPr>
              <w:t>hod 9</w:t>
            </w:r>
          </w:p>
        </w:tc>
        <w:tc>
          <w:tcPr>
            <w:tcW w:w="3861" w:type="pct"/>
            <w:tcBorders>
              <w:top w:val="single" w:sz="6" w:space="0" w:color="auto"/>
              <w:left w:val="single" w:sz="6" w:space="0" w:color="auto"/>
              <w:bottom w:val="single" w:sz="6" w:space="0" w:color="auto"/>
              <w:right w:val="single" w:sz="6" w:space="0" w:color="auto"/>
            </w:tcBorders>
            <w:shd w:val="clear" w:color="auto" w:fill="FFFFFF"/>
            <w:hideMark/>
          </w:tcPr>
          <w:p w:rsidR="0033642B" w:rsidRDefault="0033642B">
            <w:r>
              <w:rPr>
                <w:sz w:val="22"/>
                <w:szCs w:val="22"/>
              </w:rPr>
              <w:t>Práce prováděné ve zvýšeném tlaku vzduchu (keson)</w:t>
            </w:r>
          </w:p>
        </w:tc>
        <w:tc>
          <w:tcPr>
            <w:tcW w:w="539" w:type="pct"/>
            <w:tcBorders>
              <w:top w:val="single" w:sz="6" w:space="0" w:color="auto"/>
              <w:left w:val="single" w:sz="6" w:space="0" w:color="auto"/>
              <w:bottom w:val="single" w:sz="6" w:space="0" w:color="auto"/>
              <w:right w:val="single" w:sz="6" w:space="0" w:color="auto"/>
            </w:tcBorders>
            <w:shd w:val="clear" w:color="auto" w:fill="FFFFFF"/>
            <w:hideMark/>
          </w:tcPr>
          <w:p w:rsidR="0033642B" w:rsidRDefault="0033642B">
            <w:pPr>
              <w:jc w:val="center"/>
            </w:pPr>
            <w:r>
              <w:rPr>
                <w:sz w:val="22"/>
                <w:szCs w:val="22"/>
              </w:rPr>
              <w:t>ne</w:t>
            </w:r>
          </w:p>
        </w:tc>
      </w:tr>
      <w:tr w:rsidR="0033642B" w:rsidTr="0033642B">
        <w:tc>
          <w:tcPr>
            <w:tcW w:w="600" w:type="pct"/>
            <w:tcBorders>
              <w:top w:val="single" w:sz="6" w:space="0" w:color="auto"/>
              <w:left w:val="single" w:sz="6" w:space="0" w:color="auto"/>
              <w:bottom w:val="single" w:sz="6" w:space="0" w:color="auto"/>
              <w:right w:val="single" w:sz="6" w:space="0" w:color="auto"/>
            </w:tcBorders>
            <w:shd w:val="clear" w:color="auto" w:fill="FFFFFF"/>
            <w:hideMark/>
          </w:tcPr>
          <w:p w:rsidR="0033642B" w:rsidRDefault="0033642B">
            <w:r>
              <w:rPr>
                <w:sz w:val="22"/>
                <w:szCs w:val="22"/>
              </w:rPr>
              <w:t>hod 10</w:t>
            </w:r>
          </w:p>
        </w:tc>
        <w:tc>
          <w:tcPr>
            <w:tcW w:w="3861" w:type="pct"/>
            <w:tcBorders>
              <w:top w:val="single" w:sz="6" w:space="0" w:color="auto"/>
              <w:left w:val="single" w:sz="6" w:space="0" w:color="auto"/>
              <w:bottom w:val="single" w:sz="6" w:space="0" w:color="auto"/>
              <w:right w:val="single" w:sz="6" w:space="0" w:color="auto"/>
            </w:tcBorders>
            <w:shd w:val="clear" w:color="auto" w:fill="FFFFFF"/>
            <w:hideMark/>
          </w:tcPr>
          <w:p w:rsidR="0033642B" w:rsidRDefault="0033642B">
            <w:r>
              <w:rPr>
                <w:sz w:val="22"/>
                <w:szCs w:val="22"/>
              </w:rPr>
              <w:t>Práce spojené s použitím výbušnin</w:t>
            </w:r>
          </w:p>
        </w:tc>
        <w:tc>
          <w:tcPr>
            <w:tcW w:w="539" w:type="pct"/>
            <w:tcBorders>
              <w:top w:val="single" w:sz="6" w:space="0" w:color="auto"/>
              <w:left w:val="single" w:sz="6" w:space="0" w:color="auto"/>
              <w:bottom w:val="single" w:sz="6" w:space="0" w:color="auto"/>
              <w:right w:val="single" w:sz="6" w:space="0" w:color="auto"/>
            </w:tcBorders>
            <w:shd w:val="clear" w:color="auto" w:fill="FFFFFF"/>
            <w:hideMark/>
          </w:tcPr>
          <w:p w:rsidR="0033642B" w:rsidRDefault="0033642B">
            <w:pPr>
              <w:jc w:val="center"/>
            </w:pPr>
            <w:r>
              <w:rPr>
                <w:sz w:val="22"/>
                <w:szCs w:val="22"/>
              </w:rPr>
              <w:t>ne</w:t>
            </w:r>
          </w:p>
        </w:tc>
      </w:tr>
      <w:tr w:rsidR="0033642B" w:rsidTr="0033642B">
        <w:tc>
          <w:tcPr>
            <w:tcW w:w="600" w:type="pct"/>
            <w:tcBorders>
              <w:top w:val="single" w:sz="6" w:space="0" w:color="auto"/>
              <w:left w:val="single" w:sz="6" w:space="0" w:color="auto"/>
              <w:bottom w:val="single" w:sz="6" w:space="0" w:color="auto"/>
              <w:right w:val="single" w:sz="6" w:space="0" w:color="auto"/>
            </w:tcBorders>
            <w:shd w:val="clear" w:color="auto" w:fill="FFFFFF"/>
            <w:hideMark/>
          </w:tcPr>
          <w:p w:rsidR="0033642B" w:rsidRPr="00B00166" w:rsidRDefault="0033642B">
            <w:pPr>
              <w:rPr>
                <w:b/>
              </w:rPr>
            </w:pPr>
            <w:r w:rsidRPr="00B00166">
              <w:rPr>
                <w:b/>
                <w:sz w:val="22"/>
                <w:szCs w:val="22"/>
              </w:rPr>
              <w:t>Bod 11</w:t>
            </w:r>
          </w:p>
        </w:tc>
        <w:tc>
          <w:tcPr>
            <w:tcW w:w="3861" w:type="pct"/>
            <w:tcBorders>
              <w:top w:val="single" w:sz="6" w:space="0" w:color="auto"/>
              <w:left w:val="single" w:sz="6" w:space="0" w:color="auto"/>
              <w:bottom w:val="single" w:sz="6" w:space="0" w:color="auto"/>
              <w:right w:val="single" w:sz="6" w:space="0" w:color="auto"/>
            </w:tcBorders>
            <w:shd w:val="clear" w:color="auto" w:fill="FFFFFF"/>
            <w:hideMark/>
          </w:tcPr>
          <w:p w:rsidR="0033642B" w:rsidRPr="00B00166" w:rsidRDefault="0033642B">
            <w:pPr>
              <w:rPr>
                <w:b/>
              </w:rPr>
            </w:pPr>
            <w:r w:rsidRPr="00B00166">
              <w:rPr>
                <w:b/>
                <w:sz w:val="22"/>
                <w:szCs w:val="22"/>
              </w:rPr>
              <w:t>Práce spojené s montáží a demontáží těžkých konstrukčních stavebních dílů kovových, betonových a dřevěných určených pro trvalé zabudování do staveb</w:t>
            </w:r>
          </w:p>
        </w:tc>
        <w:tc>
          <w:tcPr>
            <w:tcW w:w="539" w:type="pct"/>
            <w:tcBorders>
              <w:top w:val="single" w:sz="6" w:space="0" w:color="auto"/>
              <w:left w:val="single" w:sz="6" w:space="0" w:color="auto"/>
              <w:bottom w:val="single" w:sz="6" w:space="0" w:color="auto"/>
              <w:right w:val="single" w:sz="6" w:space="0" w:color="auto"/>
            </w:tcBorders>
            <w:shd w:val="clear" w:color="auto" w:fill="FFFFFF"/>
            <w:hideMark/>
          </w:tcPr>
          <w:p w:rsidR="0033642B" w:rsidRPr="005B6027" w:rsidRDefault="00B00166" w:rsidP="00B00166">
            <w:pPr>
              <w:jc w:val="center"/>
              <w:rPr>
                <w:b/>
              </w:rPr>
            </w:pPr>
            <w:r w:rsidRPr="005B6027">
              <w:rPr>
                <w:b/>
                <w:sz w:val="22"/>
                <w:szCs w:val="22"/>
              </w:rPr>
              <w:t>Ano</w:t>
            </w:r>
          </w:p>
        </w:tc>
      </w:tr>
    </w:tbl>
    <w:p w:rsidR="0033642B" w:rsidRDefault="0033642B" w:rsidP="0033642B">
      <w:r>
        <w:t>Další rizika:</w:t>
      </w:r>
    </w:p>
    <w:p w:rsidR="0033642B" w:rsidRDefault="0033642B" w:rsidP="0033642B">
      <w:pPr>
        <w:numPr>
          <w:ilvl w:val="0"/>
          <w:numId w:val="2"/>
        </w:numPr>
      </w:pPr>
      <w:r>
        <w:t>Neoprávněný vstup na stavbu a do prostoru staveniště</w:t>
      </w:r>
    </w:p>
    <w:p w:rsidR="0033642B" w:rsidRDefault="0033642B" w:rsidP="0033642B">
      <w:pPr>
        <w:numPr>
          <w:ilvl w:val="0"/>
          <w:numId w:val="2"/>
        </w:numPr>
      </w:pPr>
      <w:r>
        <w:t>Poraněni mechanizací</w:t>
      </w:r>
    </w:p>
    <w:p w:rsidR="0033642B" w:rsidRDefault="0033642B" w:rsidP="0033642B">
      <w:pPr>
        <w:numPr>
          <w:ilvl w:val="0"/>
          <w:numId w:val="2"/>
        </w:numPr>
      </w:pPr>
      <w:r>
        <w:t xml:space="preserve">Popálení nebo zasaženi el. </w:t>
      </w:r>
      <w:proofErr w:type="gramStart"/>
      <w:r>
        <w:t>proudem</w:t>
      </w:r>
      <w:proofErr w:type="gramEnd"/>
    </w:p>
    <w:p w:rsidR="0033642B" w:rsidRDefault="0033642B" w:rsidP="0033642B">
      <w:pPr>
        <w:numPr>
          <w:ilvl w:val="0"/>
          <w:numId w:val="2"/>
        </w:numPr>
      </w:pPr>
      <w:r>
        <w:t>Uklouznutí, zakopnutí</w:t>
      </w:r>
    </w:p>
    <w:p w:rsidR="00B00166" w:rsidRDefault="0033642B" w:rsidP="00B00166">
      <w:r>
        <w:rPr>
          <w:b/>
          <w:bCs/>
        </w:rPr>
        <w:t xml:space="preserve">Doporučená opatření </w:t>
      </w:r>
      <w:r>
        <w:t xml:space="preserve">(technická, organizační, časová) </w:t>
      </w:r>
    </w:p>
    <w:p w:rsidR="00E07C04" w:rsidRDefault="00E07C04" w:rsidP="00E07C04">
      <w:pPr>
        <w:pStyle w:val="Odstavecseseznamem"/>
        <w:numPr>
          <w:ilvl w:val="0"/>
          <w:numId w:val="10"/>
        </w:numPr>
        <w:ind w:left="709" w:hanging="283"/>
      </w:pPr>
      <w:r>
        <w:t xml:space="preserve">Stanovení technologického postupu </w:t>
      </w:r>
      <w:bookmarkStart w:id="1" w:name="_GoBack"/>
      <w:bookmarkEnd w:id="1"/>
    </w:p>
    <w:p w:rsidR="0033642B" w:rsidRDefault="0033642B" w:rsidP="00B00166">
      <w:r>
        <w:rPr>
          <w:b/>
          <w:bCs/>
        </w:rPr>
        <w:t xml:space="preserve">Skladovací prostory </w:t>
      </w:r>
      <w:r>
        <w:t xml:space="preserve">- Jako skladovací plochy budou využity prostory v rámci staveniště dle PD. Při skladování a manipulaci s materiálem je nutno dodržet tyto bezpečnostní požadavky: Skladovací plochy musí být rovné, odvodněné a zpevněné. </w:t>
      </w:r>
    </w:p>
    <w:p w:rsidR="0033642B" w:rsidRDefault="0033642B" w:rsidP="0033642B">
      <w:pPr>
        <w:numPr>
          <w:ilvl w:val="0"/>
          <w:numId w:val="3"/>
        </w:numPr>
        <w:ind w:left="567"/>
      </w:pPr>
      <w:r>
        <w:t xml:space="preserve">Rozmístění skladovaných materiálů, rozměry a únosnost skladovacích ploch včetně dopravních komunikací musí odpovídat rozměrům a hmotnosti skladovaného materiálu a použitých strojů. </w:t>
      </w:r>
    </w:p>
    <w:p w:rsidR="0033642B" w:rsidRDefault="0033642B" w:rsidP="0033642B">
      <w:pPr>
        <w:numPr>
          <w:ilvl w:val="0"/>
          <w:numId w:val="3"/>
        </w:numPr>
        <w:ind w:left="567"/>
      </w:pPr>
      <w:r>
        <w:t xml:space="preserve">Materiál musí být uložen tak, aby po celou dobu skladování byla zajištěna jeho stabilita a nedocházelo k poškození. </w:t>
      </w:r>
    </w:p>
    <w:p w:rsidR="0033642B" w:rsidRDefault="0033642B" w:rsidP="0033642B">
      <w:pPr>
        <w:numPr>
          <w:ilvl w:val="0"/>
          <w:numId w:val="3"/>
        </w:numPr>
        <w:ind w:left="567"/>
      </w:pPr>
      <w:r>
        <w:t xml:space="preserve">Podložkami, zarážkami, operami, stojany, klíny nebo provázáním musí být zajištěny všechny prvky, dílce nebo sestavy, které by jinak byly nestabilní a mohly se například </w:t>
      </w:r>
      <w:r>
        <w:lastRenderedPageBreak/>
        <w:t xml:space="preserve">převrátit, sklopit, posunout nebo kutálet. </w:t>
      </w:r>
    </w:p>
    <w:p w:rsidR="0033642B" w:rsidRDefault="0033642B" w:rsidP="0033642B">
      <w:pPr>
        <w:numPr>
          <w:ilvl w:val="0"/>
          <w:numId w:val="3"/>
        </w:numPr>
        <w:ind w:left="567"/>
      </w:pPr>
      <w:r>
        <w:t xml:space="preserve">Prvky, které na sebe při skladování těsně doléhají a nejsou vybaveny pro bezpečné uchopení například oky, háky nebo držadly, musí být vždy vzájemně proloženy podklady. Jako podkladů není dovoleno používat kulatinu ani vrstvené podklady tvořené dvěma nebo více prvky volně položenými na sebe. </w:t>
      </w:r>
    </w:p>
    <w:p w:rsidR="0033642B" w:rsidRDefault="0033642B" w:rsidP="0033642B">
      <w:pPr>
        <w:numPr>
          <w:ilvl w:val="0"/>
          <w:numId w:val="3"/>
        </w:numPr>
        <w:ind w:left="567"/>
      </w:pPr>
      <w:r>
        <w:t xml:space="preserve">Sypké hmoty v pytlích se ručně ukládají do výšky nejvýše 1,5 m a při mechanizovaném skladováni, jsou-li na paletách, do výšky nejvýše 3 m. </w:t>
      </w:r>
    </w:p>
    <w:p w:rsidR="0033642B" w:rsidRDefault="0033642B" w:rsidP="0033642B">
      <w:pPr>
        <w:numPr>
          <w:ilvl w:val="0"/>
          <w:numId w:val="3"/>
        </w:numPr>
        <w:ind w:left="567"/>
      </w:pPr>
      <w:r>
        <w:t xml:space="preserve">Nejsou-li okraje hromad zajištěny například operami nebo stěnami, musí být pytle uloženy v bezpečném sklonu a vazbě tak, aby nemohlo dojít k jejich sesuvu. </w:t>
      </w:r>
    </w:p>
    <w:p w:rsidR="0033642B" w:rsidRDefault="0033642B" w:rsidP="0033642B">
      <w:pPr>
        <w:numPr>
          <w:ilvl w:val="0"/>
          <w:numId w:val="3"/>
        </w:numPr>
        <w:ind w:left="567"/>
      </w:pPr>
      <w:r>
        <w:t>Nebezpečné chemické látky a chemické přípravky musí být skladovány v obalech s označením druhu a způsobu skladování, který určuje výrobce, a označeny v souladu s požadavky zákona č. 356/2003 Sb., ve znění pozdějších předpisů.</w:t>
      </w:r>
    </w:p>
    <w:p w:rsidR="0033642B" w:rsidRDefault="0033642B" w:rsidP="0033642B">
      <w:r>
        <w:rPr>
          <w:b/>
          <w:bCs/>
        </w:rPr>
        <w:t xml:space="preserve">Zednické práce </w:t>
      </w:r>
      <w:r>
        <w:t xml:space="preserve">- Zdění, osazování prefabrikovaných materiálů ve zděných konstrukcích, omítání stěn a stropů, zhotovování podlah, úpravy povrchů stěn atd., v našem případě zdění kamenného zdiva. Zdění může být prováděno i z lešení. Způsob provedení je popsán v PD. Při těchto pracích je nutno dodržovat následující bezpečnostní požadavky: </w:t>
      </w:r>
    </w:p>
    <w:p w:rsidR="0033642B" w:rsidRDefault="0033642B" w:rsidP="0033642B">
      <w:r>
        <w:t xml:space="preserve">Materiál připravený pro zdění musí být uložen tak, aby pro práci zůstal volný pracovní prostor široký nejméně 0,6 m. </w:t>
      </w:r>
    </w:p>
    <w:p w:rsidR="0033642B" w:rsidRDefault="0033642B" w:rsidP="0033642B">
      <w:r>
        <w:t xml:space="preserve">Na právě vyzdívanou zeď se nesmí vstupovat nebo ji jinak zatěžovat, a to ani při provádění kontroly svislosti zdiva a vázaní. </w:t>
      </w:r>
    </w:p>
    <w:p w:rsidR="0033642B" w:rsidRDefault="0033642B" w:rsidP="0033642B">
      <w:r>
        <w:t xml:space="preserve">Zaměstnanci musí případně používat osobní ochranné prostředky proti pádu (není - </w:t>
      </w:r>
      <w:proofErr w:type="spellStart"/>
      <w:r>
        <w:t>li</w:t>
      </w:r>
      <w:proofErr w:type="spellEnd"/>
      <w:r>
        <w:t xml:space="preserve"> provedeno kolektivní zajištění). </w:t>
      </w:r>
    </w:p>
    <w:p w:rsidR="0033642B" w:rsidRDefault="0033642B" w:rsidP="0033642B">
      <w:r>
        <w:t xml:space="preserve">Ke zvyšování místa práce nebo k výstupu není dovoleno používat nestabilní předměty a předměty určené k jinému použití. Stroje pro výrobu, zpracování a přepravu malty se umísťují tak, aby při provozu nemohlo dojít k ohrožení fyzických osob. </w:t>
      </w:r>
    </w:p>
    <w:p w:rsidR="0033642B" w:rsidRDefault="0033642B" w:rsidP="0033642B">
      <w:r>
        <w:t xml:space="preserve">Při strojním čerpání malty musí být zabezpečen účinný způsob dorozumívání mezi fyzickou osobou provádějící nanášeni (ukládání) malty a obsluhou čerpadla. </w:t>
      </w:r>
    </w:p>
    <w:p w:rsidR="0033642B" w:rsidRDefault="0033642B" w:rsidP="0033642B">
      <w:r>
        <w:t xml:space="preserve">Osazováni konstrukcí, předmětů a technologických zařízení do zdiva musí být z hlediska stability zdiva řešeno v projektové dokumentaci, nejedná-li se o předměty malé hmotnosti, které stabilitu zdiva zjevně nemohou narušit. </w:t>
      </w:r>
    </w:p>
    <w:p w:rsidR="0033642B" w:rsidRDefault="0033642B" w:rsidP="0033642B">
      <w:r>
        <w:t>Osazené předměty musí být připevněny nebo ukotveny tak, aby se nemohly uvolnit ani posunout. Vstupovat na osazené vodorovné nosné konstrukce se smí jen tehdy, jsou-li zabezpečeny proti uvolnění a sesunutí.</w:t>
      </w:r>
    </w:p>
    <w:p w:rsidR="0033642B" w:rsidRDefault="0033642B" w:rsidP="0033642B">
      <w:pPr>
        <w:pStyle w:val="Nadpis2"/>
      </w:pPr>
      <w:bookmarkStart w:id="2" w:name="_Toc389485073"/>
      <w:r>
        <w:t>Nepříznivé vlivy stavby při provádění a opatření k jejich omezení</w:t>
      </w:r>
      <w:bookmarkEnd w:id="2"/>
    </w:p>
    <w:p w:rsidR="0033642B" w:rsidRDefault="0033642B" w:rsidP="0033642B">
      <w:r>
        <w:t>Hlučnost bude snížena vhodnými pracovními postupy a použitím vhodné mechanizace. Hlučné práce budou prováděny jen v běžné pracovní době.</w:t>
      </w:r>
    </w:p>
    <w:p w:rsidR="0033642B" w:rsidRDefault="0033642B" w:rsidP="0033642B">
      <w:pPr>
        <w:pStyle w:val="Nadpis1"/>
      </w:pPr>
      <w:bookmarkStart w:id="3" w:name="_Toc389485074"/>
      <w:r>
        <w:t>KOORDINACE STAVEBNÍCH POSTUPŮ</w:t>
      </w:r>
      <w:bookmarkEnd w:id="3"/>
    </w:p>
    <w:p w:rsidR="0033642B" w:rsidRDefault="0033642B" w:rsidP="0033642B">
      <w:pPr>
        <w:pStyle w:val="Nadpis2"/>
      </w:pPr>
      <w:bookmarkStart w:id="4" w:name="_Toc389485075"/>
      <w:r>
        <w:t>Koordinační opatřeni, koordinace pracovních postupů</w:t>
      </w:r>
      <w:bookmarkEnd w:id="4"/>
    </w:p>
    <w:p w:rsidR="0033642B" w:rsidRDefault="0033642B" w:rsidP="0033642B">
      <w:r>
        <w:t>Koordinace ovlivňujících se činnosti současně či v přímé návaznosti</w:t>
      </w:r>
    </w:p>
    <w:p w:rsidR="0033642B" w:rsidRDefault="0033642B" w:rsidP="0033642B">
      <w:r>
        <w:t xml:space="preserve">Koordinace ovlivňujících se prací bude na místě provedena jejich oddělením, především v čase, případně pak prostorové tak. </w:t>
      </w:r>
      <w:proofErr w:type="gramStart"/>
      <w:r>
        <w:t>aby</w:t>
      </w:r>
      <w:proofErr w:type="gramEnd"/>
      <w:r>
        <w:t xml:space="preserve"> nedocházelo ke vzájemnému ohrožení pracovníků při prováděných činnostech. Zhotovitel za součinnosti koordinátora přijme potřebná opatření v návaznosti na HMG provádění prací a činností tak, aby byly práce z hlediska BOZP zkoordinovány bez nebezpečí vzájemného ohrožení, případně přijme další potřebná opatření, např. vyloučení provozu v místě ohrožení, či jeho ohrazení, dozoru, atd.</w:t>
      </w:r>
    </w:p>
    <w:p w:rsidR="0033642B" w:rsidRDefault="0033642B" w:rsidP="0033642B">
      <w:r>
        <w:t>Zajištění koordinace zhotovitelů, jejich dodavatelů nebo osob jimi pověřených při přijímání opatření k zajištění BOZP:</w:t>
      </w:r>
    </w:p>
    <w:p w:rsidR="0033642B" w:rsidRDefault="0033642B" w:rsidP="0033642B">
      <w:pPr>
        <w:numPr>
          <w:ilvl w:val="0"/>
          <w:numId w:val="8"/>
        </w:numPr>
        <w:ind w:left="567"/>
      </w:pPr>
      <w:r>
        <w:t xml:space="preserve">Plán BOZP v projektové fázi v tištěné podobě bude uložen u zhotovitele a KOO na </w:t>
      </w:r>
      <w:r>
        <w:lastRenderedPageBreak/>
        <w:t xml:space="preserve">staveništi, jedno pare bude archivovat projektant. </w:t>
      </w:r>
    </w:p>
    <w:p w:rsidR="0033642B" w:rsidRDefault="0033642B" w:rsidP="0033642B">
      <w:pPr>
        <w:numPr>
          <w:ilvl w:val="0"/>
          <w:numId w:val="8"/>
        </w:numPr>
        <w:ind w:left="567"/>
      </w:pPr>
      <w:r>
        <w:t xml:space="preserve">Všichni pracovníci na staveništi (včetně </w:t>
      </w:r>
      <w:proofErr w:type="spellStart"/>
      <w:r>
        <w:t>subzhotovitelů</w:t>
      </w:r>
      <w:proofErr w:type="spellEnd"/>
      <w:r>
        <w:t>) budou před zahájením práce prokazatelně seznámeni s riziky, směrnicemi a pokyny BOZP a PO, potřebnými technologickými postupy a plánem BOZP. Podepsané protokoly o proškolení budou uloženy u stavbyvedoucího.</w:t>
      </w:r>
    </w:p>
    <w:p w:rsidR="0033642B" w:rsidRDefault="0033642B" w:rsidP="0033642B">
      <w:pPr>
        <w:numPr>
          <w:ilvl w:val="0"/>
          <w:numId w:val="8"/>
        </w:numPr>
        <w:ind w:left="567"/>
      </w:pPr>
      <w:r>
        <w:t>Koordinaci probíhajících prací a prací následných provádí hlavní zhotovitel ve spolupráci s koordinátorem BOZP při pravidelných KD BOZP konaných při kontrolních dnech stavby ve stanovených intervalech.</w:t>
      </w:r>
    </w:p>
    <w:p w:rsidR="0033642B" w:rsidRDefault="0033642B" w:rsidP="0033642B">
      <w:pPr>
        <w:numPr>
          <w:ilvl w:val="0"/>
          <w:numId w:val="8"/>
        </w:numPr>
        <w:ind w:left="567"/>
      </w:pPr>
      <w:r>
        <w:t>V případě souběžné práce více zhotovitelů stavebních prací uzavřou mezi sebou jednotliví zhotovitelé písemnou dohodu zúčastněných zaměstnavatelů dle § 101 zákona č. 262/2006 Sb. ve znění pozdějších předpisů.</w:t>
      </w:r>
    </w:p>
    <w:p w:rsidR="0033642B" w:rsidRDefault="0033642B" w:rsidP="0033642B">
      <w:pPr>
        <w:numPr>
          <w:ilvl w:val="0"/>
          <w:numId w:val="8"/>
        </w:numPr>
        <w:ind w:left="567"/>
      </w:pPr>
      <w:r>
        <w:t>Koordinace činnosti jednotlivých zhotovitelů na pracovišti bude průběžně prováděna stavbyvedoucím a odpovědnými pracovníky jednotlivých zhotovitelů na základě plánu a KD BOZP.</w:t>
      </w:r>
    </w:p>
    <w:p w:rsidR="0033642B" w:rsidRDefault="0033642B" w:rsidP="0033642B">
      <w:pPr>
        <w:numPr>
          <w:ilvl w:val="0"/>
          <w:numId w:val="8"/>
        </w:numPr>
        <w:ind w:left="567"/>
      </w:pPr>
      <w:r>
        <w:t xml:space="preserve">Zhotovitel oznámí koordinátorovi minimálně 8 dní před zahájením práce na staveništi všechny nové </w:t>
      </w:r>
      <w:proofErr w:type="spellStart"/>
      <w:r>
        <w:t>subzhotovitele</w:t>
      </w:r>
      <w:proofErr w:type="spellEnd"/>
      <w:r>
        <w:t xml:space="preserve"> a uvede vedoucího pracovníka </w:t>
      </w:r>
      <w:proofErr w:type="spellStart"/>
      <w:r>
        <w:t>subzhotovitele</w:t>
      </w:r>
      <w:proofErr w:type="spellEnd"/>
      <w:r>
        <w:t>, osobu odpovědnou za BOZP, specifikaci rizik a zašle kopie předávacího protokolu.</w:t>
      </w:r>
    </w:p>
    <w:p w:rsidR="0033642B" w:rsidRDefault="0033642B" w:rsidP="0033642B">
      <w:pPr>
        <w:numPr>
          <w:ilvl w:val="0"/>
          <w:numId w:val="8"/>
        </w:numPr>
        <w:ind w:left="567"/>
      </w:pPr>
      <w:r>
        <w:t>Stavbyvedoucí bude oznamovat koordinátorovi s dostatečným předstihem veškeré změny harmonogramu, změny oproti projektové dokumentaci a zahájení rizikových prací na staveništi.</w:t>
      </w:r>
    </w:p>
    <w:p w:rsidR="0033642B" w:rsidRDefault="0033642B" w:rsidP="0033642B">
      <w:pPr>
        <w:numPr>
          <w:ilvl w:val="0"/>
          <w:numId w:val="8"/>
        </w:numPr>
        <w:ind w:left="567"/>
      </w:pPr>
      <w:r>
        <w:t>Na staveništi bude vedena hlavní zhotovitelem denní evidence přítomnosti zaměstnanců a fyzických osob na staveništi.</w:t>
      </w:r>
    </w:p>
    <w:p w:rsidR="0033642B" w:rsidRDefault="0033642B" w:rsidP="0033642B">
      <w:pPr>
        <w:spacing w:before="120"/>
      </w:pPr>
      <w:r>
        <w:t>Činnost jednotlivých zhotovitelů, časový sled a souběh jednotlivých pracovních postupů budou v průběhu realizace stavby koordinovány s ohledem na rizika a vzájemné ovlivnění formou písemných zápisů z kontrolních dnů, zápisy do stavebního deníku a případných průběžných zpráv koordinátora. Na staveništi platí trvale zákaz souběžné realizace následujících činnosti:</w:t>
      </w:r>
    </w:p>
    <w:p w:rsidR="0033642B" w:rsidRDefault="0033642B" w:rsidP="0033642B">
      <w:pPr>
        <w:numPr>
          <w:ilvl w:val="0"/>
          <w:numId w:val="9"/>
        </w:numPr>
      </w:pPr>
      <w:r>
        <w:t>pohyb osob, práce a manipulace s materiálem při výkopových pracích</w:t>
      </w:r>
    </w:p>
    <w:p w:rsidR="0033642B" w:rsidRDefault="0033642B" w:rsidP="0033642B">
      <w:pPr>
        <w:numPr>
          <w:ilvl w:val="0"/>
          <w:numId w:val="9"/>
        </w:numPr>
      </w:pPr>
      <w:r>
        <w:t>vstup osob a jakékoliv práce v ohroženém prostoru při práci ve výškách</w:t>
      </w:r>
    </w:p>
    <w:p w:rsidR="0033642B" w:rsidRDefault="0033642B" w:rsidP="0033642B">
      <w:pPr>
        <w:numPr>
          <w:ilvl w:val="0"/>
          <w:numId w:val="9"/>
        </w:numPr>
      </w:pPr>
      <w:r>
        <w:t>prací pod sebou ve dvou a více výškových úrovních, pokud nejsou přijata opatření k omezení rizika pádu osob, materiálu či nářadí</w:t>
      </w:r>
    </w:p>
    <w:p w:rsidR="0033642B" w:rsidRDefault="0033642B" w:rsidP="0033642B">
      <w:pPr>
        <w:numPr>
          <w:ilvl w:val="0"/>
          <w:numId w:val="9"/>
        </w:numPr>
      </w:pPr>
      <w:r>
        <w:t>instalací ochranných konstrukcí, nebo jiným vhodným opatřením</w:t>
      </w:r>
    </w:p>
    <w:p w:rsidR="0033642B" w:rsidRDefault="0033642B" w:rsidP="0033642B">
      <w:r>
        <w:t>Harmonogram postupu prací v tuto chvíli nestanoven, bude vypracován zhotovitelem a dán do plánu BOZP jako příloha.</w:t>
      </w:r>
    </w:p>
    <w:p w:rsidR="0033642B" w:rsidRDefault="0033642B" w:rsidP="0033642B">
      <w:pPr>
        <w:pStyle w:val="Nadpis2"/>
      </w:pPr>
      <w:bookmarkStart w:id="5" w:name="_Toc389485076"/>
      <w:r>
        <w:t>Povinnosti zhotovitelů ve vztahu k omezení bezpečnostních rizik</w:t>
      </w:r>
      <w:bookmarkEnd w:id="5"/>
    </w:p>
    <w:p w:rsidR="0033642B" w:rsidRDefault="0033642B" w:rsidP="0033642B">
      <w:r>
        <w:t xml:space="preserve">Zhotovitel/é stavby je povinen nejpozději do 8 dnů před zahájením prací na staveništi doložit, že informoval koordinátora o rizicích vznikajících při pracovních nebo technologických postupech, které zvolil. Zhotovitel/é je povinen poskytovat koordinátorovi součinnost potřebnou pro plnění jeho úkolů po celou dobu svého zapojení do realizace stavby, zejména mu včas předávat informace a podklady pro zhotovení plánu bezpečnosti a ochrany zdraví při práci, brát v úvahu podněty a pokyny koordinátora a postupovat podle dohodnutých opatření. Zhotovitel je povinen umožnit koordinátorovi BOZP provedení kontroly na svém pracovišti, akceptovat pokyny koordinátora BOZP, respektovat připomínky a návrhy v oblasti BOZP (zvýšení úrovně BOZP, bezpečnostní značení, zákaz činnosti ohrožující zdraví a život ostatních osob, majetek a životní prostředí). Jiná fyzická osoba, která se osobně podílí na zhotovení stavby a která nezaměstnává zaměstnance, je povinna poskytnout zhotoviteli a koordinátorovi potřebnou součinnost a postupovat podle pokynů nebo opatření k zajištění bezpečné a zdraví neohrožující práce stanovených zhotovitelem stavby. Jiná osoba informuje zhotovitele stavby nejpozději do 5 pracovních dnů před převzetím pracoviště, a není-li to ze závažných důvodů možné, bez zbytečného odkladu o všech okolnostech, které by mohly při její činnosti na </w:t>
      </w:r>
      <w:r>
        <w:lastRenderedPageBreak/>
        <w:t xml:space="preserve">staveništi vést k ohrožení života a poškození zdraví dalších fyzických osob zdržujících se na staveništi s vědomím zhotovitele. Každý zhotovitel, který objednává k realizaci prací dalšího zhotovitele prací, </w:t>
      </w:r>
      <w:proofErr w:type="spellStart"/>
      <w:r>
        <w:t>subzhotovitele</w:t>
      </w:r>
      <w:proofErr w:type="spellEnd"/>
      <w:r>
        <w:t xml:space="preserve">, je povinen o této skutečnosti informovat zadavatele (investora) a koordinátora BOZP, a to před nástupem pracovníků nového </w:t>
      </w:r>
      <w:proofErr w:type="spellStart"/>
      <w:r>
        <w:t>subzhotovitele</w:t>
      </w:r>
      <w:proofErr w:type="spellEnd"/>
      <w:r>
        <w:t xml:space="preserve"> na stavbu. Všichni zhotovitelé, ať už právnické nebo podnikající fyzické osoby, jsou zodpovědní za zajištění BOZP při výkonu všech svých činností v souladu s právními předpisy ČR (přehled platných předpisů je uveden v příloze), a to na svých pracovištích a pro všechny své pracovníky (zaměstnance). Pokud je pro činnost vykonávanou pracovníky zhotovitele vyžadována právními předpisy ČR zvláštní způsobilost, odbornost nebo kvalifikace (dále jen způsobilost) je povinností zhotovitele zajistit, aby každou takovou činnost vykonávali pouze způsobilí pracovníci (zaměstnanci). V opačném případě může být zhotovitel ze staveniště vykázán. Zhotovitel je povinen spolupracovat s koordinátorem BOZP při aktualizaci plánu BOZP.</w:t>
      </w:r>
    </w:p>
    <w:p w:rsidR="00C06224" w:rsidRPr="0033642B" w:rsidRDefault="00C06224" w:rsidP="0033642B"/>
    <w:sectPr w:rsidR="00C06224" w:rsidRPr="0033642B" w:rsidSect="00546203">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30195"/>
    <w:multiLevelType w:val="hybridMultilevel"/>
    <w:tmpl w:val="B09E5440"/>
    <w:lvl w:ilvl="0" w:tplc="04050001">
      <w:start w:val="1"/>
      <w:numFmt w:val="bullet"/>
      <w:lvlText w:val=""/>
      <w:lvlJc w:val="left"/>
      <w:pPr>
        <w:ind w:left="1050" w:hanging="360"/>
      </w:pPr>
      <w:rPr>
        <w:rFonts w:ascii="Symbol" w:hAnsi="Symbol" w:hint="default"/>
      </w:rPr>
    </w:lvl>
    <w:lvl w:ilvl="1" w:tplc="04050003" w:tentative="1">
      <w:start w:val="1"/>
      <w:numFmt w:val="bullet"/>
      <w:lvlText w:val="o"/>
      <w:lvlJc w:val="left"/>
      <w:pPr>
        <w:ind w:left="1770" w:hanging="360"/>
      </w:pPr>
      <w:rPr>
        <w:rFonts w:ascii="Courier New" w:hAnsi="Courier New" w:cs="Courier New" w:hint="default"/>
      </w:rPr>
    </w:lvl>
    <w:lvl w:ilvl="2" w:tplc="04050005" w:tentative="1">
      <w:start w:val="1"/>
      <w:numFmt w:val="bullet"/>
      <w:lvlText w:val=""/>
      <w:lvlJc w:val="left"/>
      <w:pPr>
        <w:ind w:left="2490" w:hanging="360"/>
      </w:pPr>
      <w:rPr>
        <w:rFonts w:ascii="Wingdings" w:hAnsi="Wingdings" w:hint="default"/>
      </w:rPr>
    </w:lvl>
    <w:lvl w:ilvl="3" w:tplc="04050001" w:tentative="1">
      <w:start w:val="1"/>
      <w:numFmt w:val="bullet"/>
      <w:lvlText w:val=""/>
      <w:lvlJc w:val="left"/>
      <w:pPr>
        <w:ind w:left="3210" w:hanging="360"/>
      </w:pPr>
      <w:rPr>
        <w:rFonts w:ascii="Symbol" w:hAnsi="Symbol" w:hint="default"/>
      </w:rPr>
    </w:lvl>
    <w:lvl w:ilvl="4" w:tplc="04050003" w:tentative="1">
      <w:start w:val="1"/>
      <w:numFmt w:val="bullet"/>
      <w:lvlText w:val="o"/>
      <w:lvlJc w:val="left"/>
      <w:pPr>
        <w:ind w:left="3930" w:hanging="360"/>
      </w:pPr>
      <w:rPr>
        <w:rFonts w:ascii="Courier New" w:hAnsi="Courier New" w:cs="Courier New" w:hint="default"/>
      </w:rPr>
    </w:lvl>
    <w:lvl w:ilvl="5" w:tplc="04050005" w:tentative="1">
      <w:start w:val="1"/>
      <w:numFmt w:val="bullet"/>
      <w:lvlText w:val=""/>
      <w:lvlJc w:val="left"/>
      <w:pPr>
        <w:ind w:left="4650" w:hanging="360"/>
      </w:pPr>
      <w:rPr>
        <w:rFonts w:ascii="Wingdings" w:hAnsi="Wingdings" w:hint="default"/>
      </w:rPr>
    </w:lvl>
    <w:lvl w:ilvl="6" w:tplc="04050001" w:tentative="1">
      <w:start w:val="1"/>
      <w:numFmt w:val="bullet"/>
      <w:lvlText w:val=""/>
      <w:lvlJc w:val="left"/>
      <w:pPr>
        <w:ind w:left="5370" w:hanging="360"/>
      </w:pPr>
      <w:rPr>
        <w:rFonts w:ascii="Symbol" w:hAnsi="Symbol" w:hint="default"/>
      </w:rPr>
    </w:lvl>
    <w:lvl w:ilvl="7" w:tplc="04050003" w:tentative="1">
      <w:start w:val="1"/>
      <w:numFmt w:val="bullet"/>
      <w:lvlText w:val="o"/>
      <w:lvlJc w:val="left"/>
      <w:pPr>
        <w:ind w:left="6090" w:hanging="360"/>
      </w:pPr>
      <w:rPr>
        <w:rFonts w:ascii="Courier New" w:hAnsi="Courier New" w:cs="Courier New" w:hint="default"/>
      </w:rPr>
    </w:lvl>
    <w:lvl w:ilvl="8" w:tplc="04050005" w:tentative="1">
      <w:start w:val="1"/>
      <w:numFmt w:val="bullet"/>
      <w:lvlText w:val=""/>
      <w:lvlJc w:val="left"/>
      <w:pPr>
        <w:ind w:left="6810" w:hanging="360"/>
      </w:pPr>
      <w:rPr>
        <w:rFonts w:ascii="Wingdings" w:hAnsi="Wingdings" w:hint="default"/>
      </w:rPr>
    </w:lvl>
  </w:abstractNum>
  <w:abstractNum w:abstractNumId="1" w15:restartNumberingAfterBreak="0">
    <w:nsid w:val="119C3425"/>
    <w:multiLevelType w:val="hybridMultilevel"/>
    <w:tmpl w:val="6FB61088"/>
    <w:lvl w:ilvl="0" w:tplc="04050001">
      <w:start w:val="1"/>
      <w:numFmt w:val="bullet"/>
      <w:lvlText w:val=""/>
      <w:lvlJc w:val="left"/>
      <w:pPr>
        <w:ind w:left="720" w:hanging="360"/>
      </w:pPr>
      <w:rPr>
        <w:rFonts w:ascii="Symbol" w:hAnsi="Symbol" w:hint="default"/>
      </w:rPr>
    </w:lvl>
    <w:lvl w:ilvl="1" w:tplc="89BEB8EC">
      <w:numFmt w:val="bullet"/>
      <w:lvlText w:val="-"/>
      <w:lvlJc w:val="left"/>
      <w:pPr>
        <w:ind w:left="1800" w:hanging="720"/>
      </w:pPr>
      <w:rPr>
        <w:rFonts w:ascii="Calibri" w:eastAsia="Times New Roman" w:hAnsi="Calibri"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5435597"/>
    <w:multiLevelType w:val="multilevel"/>
    <w:tmpl w:val="04050025"/>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3" w15:restartNumberingAfterBreak="0">
    <w:nsid w:val="27907985"/>
    <w:multiLevelType w:val="hybridMultilevel"/>
    <w:tmpl w:val="8A4280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EE12F7F"/>
    <w:multiLevelType w:val="hybridMultilevel"/>
    <w:tmpl w:val="C4AA2F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13F0420"/>
    <w:multiLevelType w:val="hybridMultilevel"/>
    <w:tmpl w:val="F7EE0F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7B74215"/>
    <w:multiLevelType w:val="hybridMultilevel"/>
    <w:tmpl w:val="DBCA79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734D2EFD"/>
    <w:multiLevelType w:val="hybridMultilevel"/>
    <w:tmpl w:val="A3D6D2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755D36F7"/>
    <w:multiLevelType w:val="hybridMultilevel"/>
    <w:tmpl w:val="B9C0AC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7DE766EF"/>
    <w:multiLevelType w:val="hybridMultilevel"/>
    <w:tmpl w:val="34865B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8"/>
  </w:num>
  <w:num w:numId="5">
    <w:abstractNumId w:val="9"/>
  </w:num>
  <w:num w:numId="6">
    <w:abstractNumId w:val="1"/>
  </w:num>
  <w:num w:numId="7">
    <w:abstractNumId w:val="4"/>
  </w:num>
  <w:num w:numId="8">
    <w:abstractNumId w:val="3"/>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A2B"/>
    <w:rsid w:val="0001428F"/>
    <w:rsid w:val="0007177E"/>
    <w:rsid w:val="001D583C"/>
    <w:rsid w:val="0024035B"/>
    <w:rsid w:val="00251878"/>
    <w:rsid w:val="00280AC6"/>
    <w:rsid w:val="0033642B"/>
    <w:rsid w:val="003D2017"/>
    <w:rsid w:val="00546203"/>
    <w:rsid w:val="005B6027"/>
    <w:rsid w:val="00601525"/>
    <w:rsid w:val="007B56A0"/>
    <w:rsid w:val="00801A2B"/>
    <w:rsid w:val="0095513A"/>
    <w:rsid w:val="009E2EED"/>
    <w:rsid w:val="00B00166"/>
    <w:rsid w:val="00B10A27"/>
    <w:rsid w:val="00B93E58"/>
    <w:rsid w:val="00C06224"/>
    <w:rsid w:val="00C34F04"/>
    <w:rsid w:val="00E07C04"/>
    <w:rsid w:val="00E25879"/>
    <w:rsid w:val="00FD6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BCCBF1-31DC-4F77-B4A4-4F47F8328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642B"/>
    <w:pPr>
      <w:widowControl w:val="0"/>
      <w:autoSpaceDE w:val="0"/>
      <w:autoSpaceDN w:val="0"/>
      <w:adjustRightInd w:val="0"/>
      <w:spacing w:after="0" w:line="240" w:lineRule="auto"/>
      <w:jc w:val="both"/>
    </w:pPr>
    <w:rPr>
      <w:rFonts w:ascii="Calibri" w:eastAsia="Times New Roman" w:hAnsi="Calibri" w:cs="Times New Roman"/>
      <w:sz w:val="24"/>
      <w:szCs w:val="24"/>
      <w:lang w:eastAsia="cs-CZ"/>
    </w:rPr>
  </w:style>
  <w:style w:type="paragraph" w:styleId="Nadpis1">
    <w:name w:val="heading 1"/>
    <w:basedOn w:val="Normln"/>
    <w:next w:val="Normln"/>
    <w:link w:val="Nadpis1Char"/>
    <w:uiPriority w:val="99"/>
    <w:qFormat/>
    <w:rsid w:val="0033642B"/>
    <w:pPr>
      <w:keepNext/>
      <w:numPr>
        <w:numId w:val="1"/>
      </w:numPr>
      <w:spacing w:before="240" w:after="60"/>
      <w:outlineLvl w:val="0"/>
    </w:pPr>
    <w:rPr>
      <w:b/>
      <w:bCs/>
      <w:kern w:val="32"/>
      <w:u w:val="single"/>
    </w:rPr>
  </w:style>
  <w:style w:type="paragraph" w:styleId="Nadpis2">
    <w:name w:val="heading 2"/>
    <w:basedOn w:val="Normln"/>
    <w:next w:val="Normln"/>
    <w:link w:val="Nadpis2Char"/>
    <w:uiPriority w:val="99"/>
    <w:semiHidden/>
    <w:unhideWhenUsed/>
    <w:qFormat/>
    <w:rsid w:val="0033642B"/>
    <w:pPr>
      <w:keepNext/>
      <w:numPr>
        <w:ilvl w:val="1"/>
        <w:numId w:val="1"/>
      </w:numPr>
      <w:spacing w:before="240" w:after="60"/>
      <w:outlineLvl w:val="1"/>
    </w:pPr>
    <w:rPr>
      <w:b/>
      <w:bCs/>
      <w:iCs/>
    </w:rPr>
  </w:style>
  <w:style w:type="paragraph" w:styleId="Nadpis3">
    <w:name w:val="heading 3"/>
    <w:basedOn w:val="Normln"/>
    <w:next w:val="Normln"/>
    <w:link w:val="Nadpis3Char"/>
    <w:uiPriority w:val="99"/>
    <w:semiHidden/>
    <w:unhideWhenUsed/>
    <w:qFormat/>
    <w:rsid w:val="0033642B"/>
    <w:pPr>
      <w:keepNext/>
      <w:numPr>
        <w:ilvl w:val="2"/>
        <w:numId w:val="1"/>
      </w:numPr>
      <w:spacing w:before="240" w:after="60"/>
      <w:outlineLvl w:val="2"/>
    </w:pPr>
    <w:rPr>
      <w:bCs/>
      <w:u w:val="single"/>
    </w:rPr>
  </w:style>
  <w:style w:type="paragraph" w:styleId="Nadpis4">
    <w:name w:val="heading 4"/>
    <w:basedOn w:val="Normln"/>
    <w:next w:val="Normln"/>
    <w:link w:val="Nadpis4Char"/>
    <w:uiPriority w:val="99"/>
    <w:semiHidden/>
    <w:unhideWhenUsed/>
    <w:qFormat/>
    <w:rsid w:val="0033642B"/>
    <w:pPr>
      <w:keepNext/>
      <w:numPr>
        <w:ilvl w:val="3"/>
        <w:numId w:val="1"/>
      </w:numPr>
      <w:spacing w:before="240" w:after="60"/>
      <w:outlineLvl w:val="3"/>
    </w:pPr>
    <w:rPr>
      <w:bCs/>
      <w:u w:val="single"/>
    </w:rPr>
  </w:style>
  <w:style w:type="paragraph" w:styleId="Nadpis5">
    <w:name w:val="heading 5"/>
    <w:basedOn w:val="Normln"/>
    <w:next w:val="Normln"/>
    <w:link w:val="Nadpis5Char"/>
    <w:uiPriority w:val="99"/>
    <w:semiHidden/>
    <w:unhideWhenUsed/>
    <w:qFormat/>
    <w:rsid w:val="0033642B"/>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semiHidden/>
    <w:unhideWhenUsed/>
    <w:qFormat/>
    <w:rsid w:val="0033642B"/>
    <w:pPr>
      <w:numPr>
        <w:ilvl w:val="5"/>
        <w:numId w:val="1"/>
      </w:numPr>
      <w:spacing w:before="240" w:after="60"/>
      <w:outlineLvl w:val="5"/>
    </w:pPr>
    <w:rPr>
      <w:b/>
      <w:bCs/>
      <w:sz w:val="22"/>
      <w:szCs w:val="22"/>
    </w:rPr>
  </w:style>
  <w:style w:type="paragraph" w:styleId="Nadpis7">
    <w:name w:val="heading 7"/>
    <w:basedOn w:val="Normln"/>
    <w:next w:val="Normln"/>
    <w:link w:val="Nadpis7Char"/>
    <w:uiPriority w:val="99"/>
    <w:semiHidden/>
    <w:unhideWhenUsed/>
    <w:qFormat/>
    <w:rsid w:val="0033642B"/>
    <w:pPr>
      <w:numPr>
        <w:ilvl w:val="6"/>
        <w:numId w:val="1"/>
      </w:numPr>
      <w:spacing w:before="240" w:after="60"/>
      <w:outlineLvl w:val="6"/>
    </w:pPr>
  </w:style>
  <w:style w:type="paragraph" w:styleId="Nadpis8">
    <w:name w:val="heading 8"/>
    <w:basedOn w:val="Normln"/>
    <w:next w:val="Normln"/>
    <w:link w:val="Nadpis8Char"/>
    <w:uiPriority w:val="99"/>
    <w:semiHidden/>
    <w:unhideWhenUsed/>
    <w:qFormat/>
    <w:rsid w:val="0033642B"/>
    <w:pPr>
      <w:numPr>
        <w:ilvl w:val="7"/>
        <w:numId w:val="1"/>
      </w:numPr>
      <w:spacing w:before="240" w:after="60"/>
      <w:outlineLvl w:val="7"/>
    </w:pPr>
    <w:rPr>
      <w:i/>
      <w:iCs/>
    </w:rPr>
  </w:style>
  <w:style w:type="paragraph" w:styleId="Nadpis9">
    <w:name w:val="heading 9"/>
    <w:basedOn w:val="Normln"/>
    <w:next w:val="Normln"/>
    <w:link w:val="Nadpis9Char"/>
    <w:uiPriority w:val="99"/>
    <w:semiHidden/>
    <w:unhideWhenUsed/>
    <w:qFormat/>
    <w:rsid w:val="0033642B"/>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33642B"/>
    <w:rPr>
      <w:rFonts w:ascii="Calibri" w:eastAsia="Times New Roman" w:hAnsi="Calibri" w:cs="Times New Roman"/>
      <w:b/>
      <w:bCs/>
      <w:kern w:val="32"/>
      <w:sz w:val="24"/>
      <w:szCs w:val="24"/>
      <w:u w:val="single"/>
      <w:lang w:eastAsia="cs-CZ"/>
    </w:rPr>
  </w:style>
  <w:style w:type="character" w:customStyle="1" w:styleId="Nadpis2Char">
    <w:name w:val="Nadpis 2 Char"/>
    <w:basedOn w:val="Standardnpsmoodstavce"/>
    <w:link w:val="Nadpis2"/>
    <w:uiPriority w:val="99"/>
    <w:semiHidden/>
    <w:rsid w:val="0033642B"/>
    <w:rPr>
      <w:rFonts w:ascii="Calibri" w:eastAsia="Times New Roman" w:hAnsi="Calibri" w:cs="Times New Roman"/>
      <w:b/>
      <w:bCs/>
      <w:iCs/>
      <w:sz w:val="24"/>
      <w:szCs w:val="24"/>
      <w:lang w:eastAsia="cs-CZ"/>
    </w:rPr>
  </w:style>
  <w:style w:type="character" w:customStyle="1" w:styleId="Nadpis3Char">
    <w:name w:val="Nadpis 3 Char"/>
    <w:basedOn w:val="Standardnpsmoodstavce"/>
    <w:link w:val="Nadpis3"/>
    <w:uiPriority w:val="99"/>
    <w:semiHidden/>
    <w:rsid w:val="0033642B"/>
    <w:rPr>
      <w:rFonts w:ascii="Calibri" w:eastAsia="Times New Roman" w:hAnsi="Calibri" w:cs="Times New Roman"/>
      <w:bCs/>
      <w:sz w:val="24"/>
      <w:szCs w:val="24"/>
      <w:u w:val="single"/>
      <w:lang w:eastAsia="cs-CZ"/>
    </w:rPr>
  </w:style>
  <w:style w:type="character" w:customStyle="1" w:styleId="Nadpis4Char">
    <w:name w:val="Nadpis 4 Char"/>
    <w:basedOn w:val="Standardnpsmoodstavce"/>
    <w:link w:val="Nadpis4"/>
    <w:uiPriority w:val="99"/>
    <w:semiHidden/>
    <w:rsid w:val="0033642B"/>
    <w:rPr>
      <w:rFonts w:ascii="Calibri" w:eastAsia="Times New Roman" w:hAnsi="Calibri" w:cs="Times New Roman"/>
      <w:bCs/>
      <w:sz w:val="24"/>
      <w:szCs w:val="24"/>
      <w:u w:val="single"/>
      <w:lang w:eastAsia="cs-CZ"/>
    </w:rPr>
  </w:style>
  <w:style w:type="character" w:customStyle="1" w:styleId="Nadpis5Char">
    <w:name w:val="Nadpis 5 Char"/>
    <w:basedOn w:val="Standardnpsmoodstavce"/>
    <w:link w:val="Nadpis5"/>
    <w:uiPriority w:val="99"/>
    <w:semiHidden/>
    <w:rsid w:val="0033642B"/>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uiPriority w:val="99"/>
    <w:semiHidden/>
    <w:rsid w:val="0033642B"/>
    <w:rPr>
      <w:rFonts w:ascii="Calibri" w:eastAsia="Times New Roman" w:hAnsi="Calibri" w:cs="Times New Roman"/>
      <w:b/>
      <w:bCs/>
      <w:lang w:eastAsia="cs-CZ"/>
    </w:rPr>
  </w:style>
  <w:style w:type="character" w:customStyle="1" w:styleId="Nadpis7Char">
    <w:name w:val="Nadpis 7 Char"/>
    <w:basedOn w:val="Standardnpsmoodstavce"/>
    <w:link w:val="Nadpis7"/>
    <w:uiPriority w:val="99"/>
    <w:semiHidden/>
    <w:rsid w:val="0033642B"/>
    <w:rPr>
      <w:rFonts w:ascii="Calibri" w:eastAsia="Times New Roman" w:hAnsi="Calibri" w:cs="Times New Roman"/>
      <w:sz w:val="24"/>
      <w:szCs w:val="24"/>
      <w:lang w:eastAsia="cs-CZ"/>
    </w:rPr>
  </w:style>
  <w:style w:type="character" w:customStyle="1" w:styleId="Nadpis8Char">
    <w:name w:val="Nadpis 8 Char"/>
    <w:basedOn w:val="Standardnpsmoodstavce"/>
    <w:link w:val="Nadpis8"/>
    <w:uiPriority w:val="99"/>
    <w:semiHidden/>
    <w:rsid w:val="0033642B"/>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uiPriority w:val="99"/>
    <w:semiHidden/>
    <w:rsid w:val="0033642B"/>
    <w:rPr>
      <w:rFonts w:ascii="Cambria" w:eastAsia="Times New Roman" w:hAnsi="Cambria" w:cs="Times New Roman"/>
      <w:lang w:eastAsia="cs-CZ"/>
    </w:rPr>
  </w:style>
  <w:style w:type="paragraph" w:styleId="Bezmezer">
    <w:name w:val="No Spacing"/>
    <w:uiPriority w:val="99"/>
    <w:qFormat/>
    <w:rsid w:val="0033642B"/>
    <w:pPr>
      <w:widowControl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E07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5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1614</Words>
  <Characters>9523</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Siemens</dc:creator>
  <cp:keywords/>
  <dc:description/>
  <cp:lastModifiedBy>Siemens</cp:lastModifiedBy>
  <cp:revision>5</cp:revision>
  <dcterms:created xsi:type="dcterms:W3CDTF">2018-05-10T16:51:00Z</dcterms:created>
  <dcterms:modified xsi:type="dcterms:W3CDTF">2018-05-10T19:23:00Z</dcterms:modified>
</cp:coreProperties>
</file>